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4D" w:rsidRPr="00A80DB0" w:rsidRDefault="00B0444D"/>
    <w:p w:rsidR="00B0444D" w:rsidRPr="00A80DB0" w:rsidRDefault="00B0444D"/>
    <w:p w:rsidR="0038320A" w:rsidRPr="00A80DB0" w:rsidRDefault="0038320A" w:rsidP="0038320A">
      <w:pPr>
        <w:rPr>
          <w:rFonts w:eastAsia="Arial Unicode MS"/>
        </w:rPr>
      </w:pPr>
    </w:p>
    <w:p w:rsidR="00D75088" w:rsidRPr="00A80DB0" w:rsidRDefault="00D75088" w:rsidP="0038320A">
      <w:pPr>
        <w:rPr>
          <w:rFonts w:eastAsia="Arial Unicode MS"/>
        </w:rPr>
      </w:pPr>
      <w:r w:rsidRPr="00A80DB0">
        <w:rPr>
          <w:rFonts w:eastAsia="Arial Unicode MS"/>
        </w:rPr>
        <w:t>Presseinformation</w:t>
      </w:r>
      <w:r w:rsidR="00341257" w:rsidRPr="00A80DB0">
        <w:rPr>
          <w:rFonts w:eastAsia="Arial Unicode MS"/>
        </w:rPr>
        <w:t xml:space="preserve">, </w:t>
      </w:r>
      <w:r w:rsidR="004F64E1">
        <w:rPr>
          <w:rFonts w:eastAsia="Arial Unicode MS"/>
        </w:rPr>
        <w:t>Mai</w:t>
      </w:r>
      <w:r w:rsidRPr="00A80DB0">
        <w:rPr>
          <w:rFonts w:eastAsia="Arial Unicode MS"/>
        </w:rPr>
        <w:t xml:space="preserve"> 2022</w:t>
      </w:r>
    </w:p>
    <w:p w:rsidR="00D75088" w:rsidRPr="00A80DB0" w:rsidRDefault="00D75088"/>
    <w:p w:rsidR="00D75088" w:rsidRPr="00C43ED2" w:rsidRDefault="00D75088">
      <w:pPr>
        <w:rPr>
          <w:sz w:val="16"/>
          <w:szCs w:val="16"/>
        </w:rPr>
      </w:pPr>
    </w:p>
    <w:p w:rsidR="00D75088" w:rsidRPr="00143D71" w:rsidRDefault="004F64E1" w:rsidP="004F6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/>
          <w:b/>
          <w:sz w:val="32"/>
          <w:szCs w:val="32"/>
        </w:rPr>
      </w:pPr>
      <w:proofErr w:type="spellStart"/>
      <w:r>
        <w:rPr>
          <w:rFonts w:eastAsia="Arial Unicode MS"/>
          <w:b/>
          <w:sz w:val="32"/>
          <w:szCs w:val="32"/>
        </w:rPr>
        <w:t>Wiesbauer</w:t>
      </w:r>
      <w:proofErr w:type="spellEnd"/>
      <w:r>
        <w:rPr>
          <w:rFonts w:eastAsia="Arial Unicode MS"/>
          <w:b/>
          <w:sz w:val="32"/>
          <w:szCs w:val="32"/>
        </w:rPr>
        <w:t xml:space="preserve"> startet ein #echtsteiles Gewinnspiel</w:t>
      </w:r>
    </w:p>
    <w:p w:rsidR="00D75088" w:rsidRPr="00A80DB0" w:rsidRDefault="00D75088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4F64E1" w:rsidRPr="004F64E1" w:rsidRDefault="00481A69" w:rsidP="004F64E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Die zweite Ausgabe des </w:t>
      </w:r>
      <w:proofErr w:type="spellStart"/>
      <w:r w:rsidRPr="004F64E1">
        <w:rPr>
          <w:b/>
        </w:rPr>
        <w:t>Kitzbüheler</w:t>
      </w:r>
      <w:proofErr w:type="spellEnd"/>
      <w:r w:rsidRPr="004F64E1">
        <w:rPr>
          <w:b/>
        </w:rPr>
        <w:t xml:space="preserve"> Radmarathons </w:t>
      </w:r>
      <w:r>
        <w:rPr>
          <w:b/>
        </w:rPr>
        <w:t xml:space="preserve">steht </w:t>
      </w:r>
      <w:r w:rsidR="002B1852">
        <w:rPr>
          <w:b/>
        </w:rPr>
        <w:t xml:space="preserve">kurz </w:t>
      </w:r>
      <w:r>
        <w:rPr>
          <w:b/>
        </w:rPr>
        <w:t xml:space="preserve">bevor und </w:t>
      </w:r>
      <w:proofErr w:type="spellStart"/>
      <w:r w:rsidR="004F64E1" w:rsidRPr="004F64E1">
        <w:rPr>
          <w:b/>
        </w:rPr>
        <w:t>Wiesbauer</w:t>
      </w:r>
      <w:proofErr w:type="spellEnd"/>
      <w:r w:rsidR="004F64E1" w:rsidRPr="004F64E1">
        <w:rPr>
          <w:b/>
        </w:rPr>
        <w:t xml:space="preserve"> ist auch </w:t>
      </w:r>
      <w:r>
        <w:rPr>
          <w:b/>
        </w:rPr>
        <w:t>diesmal</w:t>
      </w:r>
      <w:r w:rsidR="004F64E1" w:rsidRPr="004F64E1">
        <w:rPr>
          <w:b/>
        </w:rPr>
        <w:t xml:space="preserve"> wieder Partner des </w:t>
      </w:r>
      <w:r>
        <w:rPr>
          <w:b/>
        </w:rPr>
        <w:t>spektakulären Bergrennens.</w:t>
      </w:r>
      <w:r w:rsidR="004F64E1" w:rsidRPr="004F64E1">
        <w:rPr>
          <w:b/>
        </w:rPr>
        <w:t xml:space="preserve"> </w:t>
      </w:r>
      <w:r>
        <w:rPr>
          <w:b/>
        </w:rPr>
        <w:t>Rund</w:t>
      </w:r>
      <w:r w:rsidR="004F64E1" w:rsidRPr="004F64E1">
        <w:rPr>
          <w:b/>
        </w:rPr>
        <w:t xml:space="preserve"> </w:t>
      </w:r>
      <w:r>
        <w:rPr>
          <w:b/>
        </w:rPr>
        <w:t>um das Event läuft zudem</w:t>
      </w:r>
      <w:r w:rsidR="004F64E1" w:rsidRPr="004F64E1">
        <w:rPr>
          <w:b/>
        </w:rPr>
        <w:t xml:space="preserve"> ein großes </w:t>
      </w:r>
      <w:r w:rsidR="003710D4">
        <w:rPr>
          <w:b/>
        </w:rPr>
        <w:t>„</w:t>
      </w:r>
      <w:r>
        <w:rPr>
          <w:b/>
        </w:rPr>
        <w:t>Bergsteiger</w:t>
      </w:r>
      <w:r w:rsidR="003710D4">
        <w:rPr>
          <w:b/>
        </w:rPr>
        <w:t>“</w:t>
      </w:r>
      <w:r>
        <w:rPr>
          <w:b/>
        </w:rPr>
        <w:t>-</w:t>
      </w:r>
      <w:r w:rsidR="004F64E1" w:rsidRPr="004F64E1">
        <w:rPr>
          <w:b/>
        </w:rPr>
        <w:t>Gewinnspiel</w:t>
      </w:r>
      <w:r>
        <w:rPr>
          <w:b/>
        </w:rPr>
        <w:t>, bei dem insgesamt 216 tolle Preise verlost werden</w:t>
      </w:r>
      <w:r w:rsidR="009E2CFE">
        <w:rPr>
          <w:b/>
        </w:rPr>
        <w:t xml:space="preserve"> – einer für jeden Kilometer der Rennstrecke!</w:t>
      </w:r>
    </w:p>
    <w:p w:rsidR="0048252E" w:rsidRPr="004F64E1" w:rsidRDefault="0048252E" w:rsidP="00482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481A69" w:rsidRPr="00481A69" w:rsidRDefault="00481A69" w:rsidP="00481A69">
      <w:pPr>
        <w:autoSpaceDE w:val="0"/>
        <w:autoSpaceDN w:val="0"/>
        <w:adjustRightInd w:val="0"/>
      </w:pPr>
      <w:r w:rsidRPr="00481A69">
        <w:t xml:space="preserve">Schon bei der Erstveranstaltung im letzten Jahr war der </w:t>
      </w:r>
      <w:proofErr w:type="spellStart"/>
      <w:r w:rsidRPr="00481A69">
        <w:t>Kitzbüheler</w:t>
      </w:r>
      <w:proofErr w:type="spellEnd"/>
      <w:r w:rsidRPr="00481A69">
        <w:t xml:space="preserve"> Radmarathon ein voller Erfolg und konnte sich auf Anhieb als Sportevent der Spitzenklasse etablieren. Auch </w:t>
      </w:r>
      <w:r>
        <w:t>heuer</w:t>
      </w:r>
      <w:r w:rsidRPr="00481A69">
        <w:t xml:space="preserve"> werden sich am 10. Juli rund 1.000 Athletinnen und Athleten der Herausforderung stellen, auf einer Strecke von 216 Kilometern unglaubliche 4.600 Höhenmeter zu bewältigen und beim spektakulären Berg-Finale das </w:t>
      </w:r>
      <w:proofErr w:type="spellStart"/>
      <w:r w:rsidRPr="00481A69">
        <w:t>Kitzbüheler</w:t>
      </w:r>
      <w:proofErr w:type="spellEnd"/>
      <w:r w:rsidRPr="00481A69">
        <w:t xml:space="preserve"> Horn zu bezwingen.</w:t>
      </w:r>
    </w:p>
    <w:p w:rsidR="004F64E1" w:rsidRPr="004F64E1" w:rsidRDefault="00481A69" w:rsidP="00481A69">
      <w:pPr>
        <w:autoSpaceDE w:val="0"/>
        <w:autoSpaceDN w:val="0"/>
        <w:adjustRightInd w:val="0"/>
      </w:pPr>
      <w:r w:rsidRPr="004F64E1">
        <w:t xml:space="preserve"> </w:t>
      </w:r>
      <w:r w:rsidR="004F64E1" w:rsidRPr="004F64E1">
        <w:t xml:space="preserve">„Rauf zum Genussgipfel!“ lautet dabei das Motto. Denn </w:t>
      </w:r>
      <w:proofErr w:type="spellStart"/>
      <w:r w:rsidR="004F64E1" w:rsidRPr="004F64E1">
        <w:t>Wiesbauer</w:t>
      </w:r>
      <w:proofErr w:type="spellEnd"/>
      <w:r w:rsidR="004F64E1" w:rsidRPr="004F64E1">
        <w:t xml:space="preserve"> ist erneut mit am Start und sorgt rund um das Event mit seinen </w:t>
      </w:r>
      <w:r w:rsidR="00F46B10">
        <w:t xml:space="preserve">typisch österreichischen </w:t>
      </w:r>
      <w:r w:rsidR="004F64E1" w:rsidRPr="004F64E1">
        <w:t xml:space="preserve">Wurstspezialitäten für höchsten Genuss. </w:t>
      </w:r>
    </w:p>
    <w:p w:rsidR="004F64E1" w:rsidRPr="004F64E1" w:rsidRDefault="004F64E1" w:rsidP="004F64E1">
      <w:pPr>
        <w:autoSpaceDE w:val="0"/>
        <w:autoSpaceDN w:val="0"/>
        <w:adjustRightInd w:val="0"/>
      </w:pPr>
      <w:r w:rsidRPr="004F64E1">
        <w:t>Der Star ist dabei die „Bergsteiger“, die auch im Mittelpunkt eines großen Gewinnspiels steht</w:t>
      </w:r>
      <w:r w:rsidR="00F46B10">
        <w:t>:</w:t>
      </w:r>
      <w:r w:rsidRPr="004F64E1">
        <w:t xml:space="preserve"> Insgesamt werden </w:t>
      </w:r>
      <w:r w:rsidRPr="00481A69">
        <w:t>216 tolle Preise</w:t>
      </w:r>
      <w:r w:rsidRPr="004F64E1">
        <w:t xml:space="preserve"> verlost – </w:t>
      </w:r>
      <w:r w:rsidRPr="00481A69">
        <w:t>einer für jeden Kilometer der Rennstrecke!</w:t>
      </w:r>
      <w:r w:rsidRPr="004F64E1">
        <w:t xml:space="preserve"> Zu gewinnen gibt es als Premium-Preise u.a. ein KTM Mountainbike, einen Weber </w:t>
      </w:r>
      <w:proofErr w:type="spellStart"/>
      <w:r w:rsidRPr="004F64E1">
        <w:t>Gasgriller</w:t>
      </w:r>
      <w:proofErr w:type="spellEnd"/>
      <w:r w:rsidR="00481A69">
        <w:t xml:space="preserve">, </w:t>
      </w:r>
      <w:r w:rsidR="00481A69" w:rsidRPr="00481A69">
        <w:t>Übernachtung</w:t>
      </w:r>
      <w:r w:rsidR="002B1852">
        <w:t>en</w:t>
      </w:r>
      <w:r w:rsidR="00481A69" w:rsidRPr="00481A69">
        <w:t xml:space="preserve"> in einem der luxuriösen </w:t>
      </w:r>
      <w:proofErr w:type="spellStart"/>
      <w:r w:rsidR="00481A69" w:rsidRPr="00481A69">
        <w:t>Harisch</w:t>
      </w:r>
      <w:proofErr w:type="spellEnd"/>
      <w:r w:rsidR="00481A69" w:rsidRPr="00481A69">
        <w:t xml:space="preserve"> Hotels</w:t>
      </w:r>
      <w:r w:rsidRPr="004F64E1">
        <w:t xml:space="preserve"> oder ein Gipfel-Frühstück am </w:t>
      </w:r>
      <w:proofErr w:type="spellStart"/>
      <w:r w:rsidRPr="004F64E1">
        <w:t>Kitzbüheler</w:t>
      </w:r>
      <w:proofErr w:type="spellEnd"/>
      <w:r w:rsidRPr="004F64E1">
        <w:t xml:space="preserve"> Horn. Dazu winken diverse Radsport-Access</w:t>
      </w:r>
      <w:r>
        <w:t>oi</w:t>
      </w:r>
      <w:r w:rsidRPr="004F64E1">
        <w:t xml:space="preserve">res, Packages mit </w:t>
      </w:r>
      <w:proofErr w:type="spellStart"/>
      <w:r w:rsidRPr="004F64E1">
        <w:t>Wiesbauer</w:t>
      </w:r>
      <w:proofErr w:type="spellEnd"/>
      <w:r w:rsidRPr="004F64E1">
        <w:t xml:space="preserve">-Schmankerln </w:t>
      </w:r>
      <w:r w:rsidR="002B1852">
        <w:t>und</w:t>
      </w:r>
      <w:r w:rsidRPr="004F64E1">
        <w:t xml:space="preserve"> Gutscheine für </w:t>
      </w:r>
      <w:r>
        <w:t xml:space="preserve">den </w:t>
      </w:r>
      <w:proofErr w:type="spellStart"/>
      <w:r>
        <w:t>Wiesbauer</w:t>
      </w:r>
      <w:proofErr w:type="spellEnd"/>
      <w:r w:rsidRPr="004F64E1">
        <w:t xml:space="preserve"> Gourmet-</w:t>
      </w:r>
      <w:r>
        <w:t>Onlineshop</w:t>
      </w:r>
      <w:r w:rsidRPr="004F64E1">
        <w:t xml:space="preserve">. </w:t>
      </w:r>
    </w:p>
    <w:p w:rsidR="004F64E1" w:rsidRPr="004F64E1" w:rsidRDefault="004F64E1" w:rsidP="004F64E1">
      <w:pPr>
        <w:autoSpaceDE w:val="0"/>
        <w:autoSpaceDN w:val="0"/>
        <w:adjustRightInd w:val="0"/>
      </w:pPr>
      <w:r w:rsidRPr="004F64E1">
        <w:t xml:space="preserve">Um auf das Gewinnspiel aufmerksam zu machen, sind derzeit alle „Bergsteiger“ SB-Produkte sowie die „Bergsteiger Junior“ (80 g) mit einem auffälligen Sticker versehen, der via </w:t>
      </w:r>
      <w:r w:rsidR="00F46B10">
        <w:br/>
      </w:r>
      <w:r w:rsidRPr="004F64E1">
        <w:t xml:space="preserve">QR-Code direkt zur Teilnahme führt. Das Gewinnspiel läuft in Österreich und Deutschland </w:t>
      </w:r>
      <w:r w:rsidR="009E76DC">
        <w:t xml:space="preserve">vom </w:t>
      </w:r>
      <w:r w:rsidR="009E76DC" w:rsidRPr="004808A9">
        <w:t>1</w:t>
      </w:r>
      <w:r w:rsidR="004808A9" w:rsidRPr="004808A9">
        <w:t>6</w:t>
      </w:r>
      <w:r w:rsidR="009E76DC" w:rsidRPr="004808A9">
        <w:t>. Mai</w:t>
      </w:r>
      <w:r w:rsidR="009E76DC">
        <w:t xml:space="preserve"> </w:t>
      </w:r>
      <w:r w:rsidRPr="004F64E1">
        <w:t>bis 10. Juli 2022.</w:t>
      </w:r>
    </w:p>
    <w:p w:rsidR="008219CB" w:rsidRDefault="008219CB" w:rsidP="00A80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bookmarkStart w:id="0" w:name="_GoBack"/>
      <w:bookmarkEnd w:id="0"/>
    </w:p>
    <w:p w:rsidR="009A478A" w:rsidRPr="00EC57D2" w:rsidRDefault="002E7C81" w:rsidP="00EC5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EC57D2">
        <w:rPr>
          <w:rFonts w:eastAsia="Arial Unicode MS"/>
          <w:b/>
          <w:sz w:val="20"/>
          <w:szCs w:val="20"/>
        </w:rPr>
        <w:t xml:space="preserve">Über </w:t>
      </w:r>
      <w:proofErr w:type="spellStart"/>
      <w:r w:rsidRPr="00EC57D2">
        <w:rPr>
          <w:rFonts w:eastAsia="Arial Unicode MS"/>
          <w:b/>
          <w:sz w:val="20"/>
          <w:szCs w:val="20"/>
        </w:rPr>
        <w:t>Wiesbauer</w:t>
      </w:r>
      <w:proofErr w:type="spellEnd"/>
      <w:r w:rsidRPr="00EC57D2">
        <w:rPr>
          <w:rFonts w:eastAsia="Arial Unicode MS"/>
          <w:b/>
          <w:sz w:val="20"/>
          <w:szCs w:val="20"/>
        </w:rPr>
        <w:t>:</w:t>
      </w:r>
    </w:p>
    <w:p w:rsidR="009E6B14" w:rsidRPr="00EC57D2" w:rsidRDefault="009A478A" w:rsidP="00EC57D2">
      <w:pPr>
        <w:spacing w:line="240" w:lineRule="auto"/>
        <w:rPr>
          <w:sz w:val="20"/>
          <w:szCs w:val="20"/>
        </w:rPr>
      </w:pPr>
      <w:r w:rsidRPr="00EC57D2">
        <w:rPr>
          <w:sz w:val="20"/>
          <w:szCs w:val="20"/>
        </w:rPr>
        <w:t xml:space="preserve">Seit Franz </w:t>
      </w:r>
      <w:proofErr w:type="spellStart"/>
      <w:r w:rsidRPr="00EC57D2">
        <w:rPr>
          <w:sz w:val="20"/>
          <w:szCs w:val="20"/>
        </w:rPr>
        <w:t>Wiesbauer</w:t>
      </w:r>
      <w:proofErr w:type="spellEnd"/>
      <w:r w:rsidRPr="00EC57D2">
        <w:rPr>
          <w:sz w:val="20"/>
          <w:szCs w:val="20"/>
        </w:rPr>
        <w:t xml:space="preserve"> Anfang der 1930er Jahre die berühmte „Original Bergsteiger“ erfand, steht der Name </w:t>
      </w:r>
      <w:proofErr w:type="spellStart"/>
      <w:r w:rsidRPr="00EC57D2">
        <w:rPr>
          <w:sz w:val="20"/>
          <w:szCs w:val="20"/>
        </w:rPr>
        <w:t>Wiesbauer</w:t>
      </w:r>
      <w:proofErr w:type="spellEnd"/>
      <w:r w:rsidRPr="00EC57D2">
        <w:rPr>
          <w:sz w:val="20"/>
          <w:szCs w:val="20"/>
        </w:rPr>
        <w:t xml:space="preserve"> für typisch österreichische Wurstspezialitäten in bester Qualität.</w:t>
      </w:r>
      <w:r w:rsidR="009E6B14" w:rsidRPr="00EC57D2">
        <w:rPr>
          <w:rFonts w:eastAsia="Arial Unicode MS"/>
          <w:sz w:val="20"/>
          <w:szCs w:val="20"/>
        </w:rPr>
        <w:t xml:space="preserve"> Mit 770 </w:t>
      </w:r>
      <w:proofErr w:type="spellStart"/>
      <w:r w:rsidR="009E6B14" w:rsidRPr="00EC57D2">
        <w:rPr>
          <w:rFonts w:eastAsia="Arial Unicode MS"/>
          <w:sz w:val="20"/>
          <w:szCs w:val="20"/>
        </w:rPr>
        <w:t>MitarbeiterInnen</w:t>
      </w:r>
      <w:proofErr w:type="spellEnd"/>
      <w:r w:rsidR="009E6B14" w:rsidRPr="00EC57D2">
        <w:rPr>
          <w:rFonts w:eastAsia="Arial Unicode MS"/>
          <w:sz w:val="20"/>
          <w:szCs w:val="20"/>
        </w:rPr>
        <w:t xml:space="preserve"> und einem Gruppenumsatz von </w:t>
      </w:r>
      <w:r w:rsidR="000732E3">
        <w:rPr>
          <w:rFonts w:eastAsia="Arial Unicode MS"/>
          <w:sz w:val="20"/>
          <w:szCs w:val="20"/>
        </w:rPr>
        <w:t xml:space="preserve">€ </w:t>
      </w:r>
      <w:r w:rsidR="009E6B14" w:rsidRPr="00EC57D2">
        <w:rPr>
          <w:rFonts w:eastAsia="Arial Unicode MS"/>
          <w:sz w:val="20"/>
          <w:szCs w:val="20"/>
        </w:rPr>
        <w:t xml:space="preserve">185 Mio. (2021) zählt </w:t>
      </w:r>
      <w:proofErr w:type="spellStart"/>
      <w:r w:rsidR="009E6B14" w:rsidRPr="00EC57D2">
        <w:rPr>
          <w:rFonts w:eastAsia="Arial Unicode MS"/>
          <w:sz w:val="20"/>
          <w:szCs w:val="20"/>
        </w:rPr>
        <w:t>Wiesbauer</w:t>
      </w:r>
      <w:proofErr w:type="spellEnd"/>
      <w:r w:rsidR="009E6B14" w:rsidRPr="00EC57D2">
        <w:rPr>
          <w:rFonts w:eastAsia="Arial Unicode MS"/>
          <w:sz w:val="20"/>
          <w:szCs w:val="20"/>
        </w:rPr>
        <w:t xml:space="preserve"> heute zu den bedeutendsten </w:t>
      </w:r>
      <w:r w:rsidR="009E6B14" w:rsidRPr="00EC57D2">
        <w:rPr>
          <w:sz w:val="20"/>
          <w:szCs w:val="20"/>
        </w:rPr>
        <w:t>fleischverarbeitenden Betrieben Österreichs</w:t>
      </w:r>
      <w:r w:rsidR="009E6B14" w:rsidRPr="00EC57D2">
        <w:rPr>
          <w:rFonts w:eastAsia="Arial Unicode MS"/>
          <w:sz w:val="20"/>
          <w:szCs w:val="20"/>
        </w:rPr>
        <w:t xml:space="preserve"> und setzt immer wieder </w:t>
      </w:r>
      <w:proofErr w:type="spellStart"/>
      <w:r w:rsidR="009E6B14" w:rsidRPr="00EC57D2">
        <w:rPr>
          <w:sz w:val="20"/>
          <w:szCs w:val="20"/>
        </w:rPr>
        <w:t>Maßstä</w:t>
      </w:r>
      <w:r w:rsidR="009E6B14" w:rsidRPr="00EC57D2">
        <w:rPr>
          <w:sz w:val="20"/>
          <w:szCs w:val="20"/>
          <w:lang w:val="de-AT"/>
        </w:rPr>
        <w:t>be</w:t>
      </w:r>
      <w:proofErr w:type="spellEnd"/>
      <w:r w:rsidR="009E6B14" w:rsidRPr="00EC57D2">
        <w:rPr>
          <w:sz w:val="20"/>
          <w:szCs w:val="20"/>
          <w:lang w:val="de-AT"/>
        </w:rPr>
        <w:t xml:space="preserve"> f</w:t>
      </w:r>
      <w:proofErr w:type="spellStart"/>
      <w:r w:rsidR="009E6B14" w:rsidRPr="00EC57D2">
        <w:rPr>
          <w:sz w:val="20"/>
          <w:szCs w:val="20"/>
        </w:rPr>
        <w:t>ür</w:t>
      </w:r>
      <w:proofErr w:type="spellEnd"/>
      <w:r w:rsidR="009E6B14" w:rsidRPr="00EC57D2">
        <w:rPr>
          <w:sz w:val="20"/>
          <w:szCs w:val="20"/>
        </w:rPr>
        <w:t xml:space="preserve"> die Branche – mit hochwertigen und innovativen Produkten, dem Einsatz modernster Produktionstechnologie und einem schonenden Umgang mit der Natur.</w:t>
      </w:r>
    </w:p>
    <w:p w:rsidR="002E7C81" w:rsidRPr="00EC57D2" w:rsidRDefault="002E7C81" w:rsidP="00EC57D2">
      <w:pPr>
        <w:spacing w:line="240" w:lineRule="auto"/>
        <w:rPr>
          <w:rFonts w:eastAsia="Arial Unicode MS"/>
          <w:sz w:val="20"/>
          <w:szCs w:val="20"/>
        </w:rPr>
      </w:pPr>
      <w:r w:rsidRPr="00EC57D2">
        <w:rPr>
          <w:rFonts w:eastAsia="Arial Unicode MS"/>
          <w:sz w:val="20"/>
          <w:szCs w:val="20"/>
        </w:rPr>
        <w:t xml:space="preserve">Neben der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– Österreichische Wurstspezialitäten GmbH </w:t>
      </w:r>
      <w:r w:rsidR="004370FA">
        <w:rPr>
          <w:rFonts w:eastAsia="Arial Unicode MS"/>
          <w:sz w:val="20"/>
          <w:szCs w:val="20"/>
        </w:rPr>
        <w:t xml:space="preserve">in Wien </w:t>
      </w:r>
      <w:r w:rsidRPr="00EC57D2">
        <w:rPr>
          <w:rFonts w:eastAsia="Arial Unicode MS"/>
          <w:sz w:val="20"/>
          <w:szCs w:val="20"/>
        </w:rPr>
        <w:t xml:space="preserve">gehören der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Holding </w:t>
      </w:r>
      <w:r w:rsidR="000732E3">
        <w:rPr>
          <w:rFonts w:eastAsia="Arial Unicode MS"/>
          <w:sz w:val="20"/>
          <w:szCs w:val="20"/>
        </w:rPr>
        <w:t xml:space="preserve">AG </w:t>
      </w:r>
      <w:r w:rsidRPr="00EC57D2">
        <w:rPr>
          <w:rFonts w:eastAsia="Arial Unicode MS"/>
          <w:sz w:val="20"/>
          <w:szCs w:val="20"/>
        </w:rPr>
        <w:t xml:space="preserve">noch drei weitere Top-Betriebe an: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Gourmet, der Spezialist für Premium-Fleisch mit Sitz in </w:t>
      </w:r>
      <w:proofErr w:type="spellStart"/>
      <w:r w:rsidR="004370FA" w:rsidRPr="004370FA">
        <w:rPr>
          <w:rFonts w:eastAsia="Arial Unicode MS"/>
          <w:sz w:val="20"/>
          <w:szCs w:val="20"/>
        </w:rPr>
        <w:t>Sitzenberg-Reidling</w:t>
      </w:r>
      <w:proofErr w:type="spellEnd"/>
      <w:r w:rsidR="004370FA">
        <w:rPr>
          <w:rFonts w:eastAsia="Arial Unicode MS"/>
        </w:rPr>
        <w:t xml:space="preserve"> </w:t>
      </w:r>
      <w:r w:rsidR="004370FA" w:rsidRPr="004370FA">
        <w:rPr>
          <w:rFonts w:eastAsia="Arial Unicode MS"/>
          <w:sz w:val="20"/>
          <w:szCs w:val="20"/>
        </w:rPr>
        <w:t>(</w:t>
      </w:r>
      <w:r w:rsidRPr="00EC57D2">
        <w:rPr>
          <w:rFonts w:eastAsia="Arial Unicode MS"/>
          <w:sz w:val="20"/>
          <w:szCs w:val="20"/>
        </w:rPr>
        <w:t>Niederösterreich</w:t>
      </w:r>
      <w:r w:rsidR="004370FA">
        <w:rPr>
          <w:rFonts w:eastAsia="Arial Unicode MS"/>
          <w:sz w:val="20"/>
          <w:szCs w:val="20"/>
        </w:rPr>
        <w:t>)</w:t>
      </w:r>
      <w:r w:rsidRPr="00EC57D2">
        <w:rPr>
          <w:rFonts w:eastAsia="Arial Unicode MS"/>
          <w:sz w:val="20"/>
          <w:szCs w:val="20"/>
        </w:rPr>
        <w:t xml:space="preserve">, die auf die Produktion von Würsteln spezialisierte Landmetzgerei </w:t>
      </w:r>
      <w:proofErr w:type="spellStart"/>
      <w:r w:rsidRPr="00EC57D2">
        <w:rPr>
          <w:rFonts w:eastAsia="Arial Unicode MS"/>
          <w:sz w:val="20"/>
          <w:szCs w:val="20"/>
        </w:rPr>
        <w:t>Senninger</w:t>
      </w:r>
      <w:proofErr w:type="spellEnd"/>
      <w:r w:rsidRPr="00EC57D2">
        <w:rPr>
          <w:rFonts w:eastAsia="Arial Unicode MS"/>
          <w:sz w:val="20"/>
          <w:szCs w:val="20"/>
        </w:rPr>
        <w:t xml:space="preserve"> in </w:t>
      </w:r>
      <w:proofErr w:type="spellStart"/>
      <w:r w:rsidRPr="00EC57D2">
        <w:rPr>
          <w:rFonts w:eastAsia="Arial Unicode MS"/>
          <w:sz w:val="20"/>
          <w:szCs w:val="20"/>
        </w:rPr>
        <w:t>Saalbach</w:t>
      </w:r>
      <w:proofErr w:type="spellEnd"/>
      <w:r w:rsidRPr="00EC57D2">
        <w:rPr>
          <w:rFonts w:eastAsia="Arial Unicode MS"/>
          <w:sz w:val="20"/>
          <w:szCs w:val="20"/>
        </w:rPr>
        <w:t xml:space="preserve"> </w:t>
      </w:r>
      <w:r w:rsidR="000732E3">
        <w:rPr>
          <w:rFonts w:eastAsia="Arial Unicode MS"/>
          <w:sz w:val="20"/>
          <w:szCs w:val="20"/>
        </w:rPr>
        <w:t xml:space="preserve">(Salzburg) </w:t>
      </w:r>
      <w:r w:rsidRPr="00EC57D2">
        <w:rPr>
          <w:rFonts w:eastAsia="Arial Unicode MS"/>
          <w:sz w:val="20"/>
          <w:szCs w:val="20"/>
        </w:rPr>
        <w:t xml:space="preserve">sowie das ungarische Tochterunternehmen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</w:t>
      </w:r>
      <w:proofErr w:type="spellStart"/>
      <w:r w:rsidRPr="00EC57D2">
        <w:rPr>
          <w:rFonts w:eastAsia="Arial Unicode MS"/>
          <w:sz w:val="20"/>
          <w:szCs w:val="20"/>
        </w:rPr>
        <w:t>Dunahús</w:t>
      </w:r>
      <w:proofErr w:type="spellEnd"/>
      <w:r w:rsidRPr="00EC57D2">
        <w:rPr>
          <w:rFonts w:eastAsia="Arial Unicode MS"/>
          <w:sz w:val="20"/>
          <w:szCs w:val="20"/>
        </w:rPr>
        <w:t xml:space="preserve">. </w:t>
      </w:r>
    </w:p>
    <w:p w:rsidR="00B0444D" w:rsidRDefault="00B0444D" w:rsidP="00A96EB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094054" w:rsidRDefault="00094054" w:rsidP="00A96EB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8219CB" w:rsidRDefault="008219CB" w:rsidP="00A96EB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094054" w:rsidRPr="00094054" w:rsidRDefault="00094054" w:rsidP="00A96EB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sectPr w:rsidR="00094054" w:rsidRPr="00094054" w:rsidSect="00C4106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2E" w:rsidRDefault="00580D2E">
      <w:r>
        <w:separator/>
      </w:r>
    </w:p>
  </w:endnote>
  <w:endnote w:type="continuationSeparator" w:id="0">
    <w:p w:rsidR="00580D2E" w:rsidRDefault="0058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60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B0444D" w:rsidRDefault="00B0444D">
    <w:pPr>
      <w:pStyle w:val="Fuzeile"/>
      <w:tabs>
        <w:tab w:val="clear" w:pos="9072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 w:rsidR="006A0471"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38320A" w:rsidRPr="0038320A" w:rsidRDefault="0038320A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495A45" w:rsidRPr="00495A45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2E" w:rsidRDefault="00580D2E">
      <w:r>
        <w:separator/>
      </w:r>
    </w:p>
  </w:footnote>
  <w:footnote w:type="continuationSeparator" w:id="0">
    <w:p w:rsidR="00580D2E" w:rsidRDefault="0058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B0444D">
    <w:pPr>
      <w:pStyle w:val="Kopfzeile"/>
      <w:tabs>
        <w:tab w:val="clear" w:pos="9072"/>
        <w:tab w:val="right" w:pos="9046"/>
      </w:tabs>
      <w:ind w:firstLine="360"/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791B60" w:rsidRDefault="00791B60" w:rsidP="00791B60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AA4121" wp14:editId="739174BD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2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 w:rsidP="00D75088">
    <w:pPr>
      <w:pStyle w:val="Kopfzeile"/>
      <w:tabs>
        <w:tab w:val="clear" w:pos="9072"/>
        <w:tab w:val="right" w:pos="9046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1073741826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44D" w:rsidRPr="0038320A" w:rsidRDefault="00A06798" w:rsidP="0038320A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4D"/>
    <w:rsid w:val="000154BD"/>
    <w:rsid w:val="00016398"/>
    <w:rsid w:val="00016EB6"/>
    <w:rsid w:val="000732E3"/>
    <w:rsid w:val="00094054"/>
    <w:rsid w:val="000B2823"/>
    <w:rsid w:val="000C6DA1"/>
    <w:rsid w:val="000D1FAB"/>
    <w:rsid w:val="001208FD"/>
    <w:rsid w:val="00143D71"/>
    <w:rsid w:val="00153DD1"/>
    <w:rsid w:val="00234B0A"/>
    <w:rsid w:val="00237877"/>
    <w:rsid w:val="00265526"/>
    <w:rsid w:val="0027111C"/>
    <w:rsid w:val="002B1852"/>
    <w:rsid w:val="002E7C81"/>
    <w:rsid w:val="0032546C"/>
    <w:rsid w:val="00341257"/>
    <w:rsid w:val="003710D4"/>
    <w:rsid w:val="00380178"/>
    <w:rsid w:val="0038320A"/>
    <w:rsid w:val="003A30E3"/>
    <w:rsid w:val="003E4B90"/>
    <w:rsid w:val="004109DF"/>
    <w:rsid w:val="0042187C"/>
    <w:rsid w:val="004370FA"/>
    <w:rsid w:val="00437C23"/>
    <w:rsid w:val="004808A9"/>
    <w:rsid w:val="00481A69"/>
    <w:rsid w:val="0048252E"/>
    <w:rsid w:val="00486748"/>
    <w:rsid w:val="00495A45"/>
    <w:rsid w:val="004A23DB"/>
    <w:rsid w:val="004F64E1"/>
    <w:rsid w:val="005044EB"/>
    <w:rsid w:val="0053459C"/>
    <w:rsid w:val="00552D31"/>
    <w:rsid w:val="00580D2E"/>
    <w:rsid w:val="005A28AB"/>
    <w:rsid w:val="005B43FC"/>
    <w:rsid w:val="005E63F8"/>
    <w:rsid w:val="00624C6C"/>
    <w:rsid w:val="006A0471"/>
    <w:rsid w:val="006F3326"/>
    <w:rsid w:val="0078113D"/>
    <w:rsid w:val="00791B60"/>
    <w:rsid w:val="007E76B8"/>
    <w:rsid w:val="00804E0B"/>
    <w:rsid w:val="00815156"/>
    <w:rsid w:val="008219CB"/>
    <w:rsid w:val="0086367B"/>
    <w:rsid w:val="00890C7B"/>
    <w:rsid w:val="00914F9D"/>
    <w:rsid w:val="009267BF"/>
    <w:rsid w:val="009322A0"/>
    <w:rsid w:val="00936556"/>
    <w:rsid w:val="0097539A"/>
    <w:rsid w:val="009867A3"/>
    <w:rsid w:val="009A21EF"/>
    <w:rsid w:val="009A478A"/>
    <w:rsid w:val="009B0117"/>
    <w:rsid w:val="009D6416"/>
    <w:rsid w:val="009E2CFE"/>
    <w:rsid w:val="009E2D0D"/>
    <w:rsid w:val="009E57CD"/>
    <w:rsid w:val="009E6B14"/>
    <w:rsid w:val="009E76DC"/>
    <w:rsid w:val="009F0C84"/>
    <w:rsid w:val="009F7560"/>
    <w:rsid w:val="00A06798"/>
    <w:rsid w:val="00A1009E"/>
    <w:rsid w:val="00A50379"/>
    <w:rsid w:val="00A65315"/>
    <w:rsid w:val="00A7008B"/>
    <w:rsid w:val="00A77811"/>
    <w:rsid w:val="00A80DB0"/>
    <w:rsid w:val="00A96EBA"/>
    <w:rsid w:val="00AE2066"/>
    <w:rsid w:val="00AE46F0"/>
    <w:rsid w:val="00AF40FD"/>
    <w:rsid w:val="00AF5628"/>
    <w:rsid w:val="00AF59C6"/>
    <w:rsid w:val="00B0444D"/>
    <w:rsid w:val="00B56E01"/>
    <w:rsid w:val="00B673CF"/>
    <w:rsid w:val="00B9548C"/>
    <w:rsid w:val="00BE1E85"/>
    <w:rsid w:val="00BE4BAE"/>
    <w:rsid w:val="00C34240"/>
    <w:rsid w:val="00C41063"/>
    <w:rsid w:val="00C43ED2"/>
    <w:rsid w:val="00CA6686"/>
    <w:rsid w:val="00CD50BC"/>
    <w:rsid w:val="00CD59AC"/>
    <w:rsid w:val="00D5258B"/>
    <w:rsid w:val="00D75088"/>
    <w:rsid w:val="00DB7868"/>
    <w:rsid w:val="00DC653D"/>
    <w:rsid w:val="00DD47CC"/>
    <w:rsid w:val="00DD6764"/>
    <w:rsid w:val="00DD78D9"/>
    <w:rsid w:val="00E0463F"/>
    <w:rsid w:val="00E70396"/>
    <w:rsid w:val="00EC57D2"/>
    <w:rsid w:val="00F1787B"/>
    <w:rsid w:val="00F215EE"/>
    <w:rsid w:val="00F22B5C"/>
    <w:rsid w:val="00F26C27"/>
    <w:rsid w:val="00F27B66"/>
    <w:rsid w:val="00F36CAC"/>
    <w:rsid w:val="00F46B10"/>
    <w:rsid w:val="00F61ECC"/>
    <w:rsid w:val="00FD2889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DBF9E"/>
  <w15:docId w15:val="{DA422270-5AA4-2E42-AF10-E034D277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rPr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4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54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Hoffmann</cp:lastModifiedBy>
  <cp:revision>64</cp:revision>
  <cp:lastPrinted>2022-01-13T10:26:00Z</cp:lastPrinted>
  <dcterms:created xsi:type="dcterms:W3CDTF">2022-01-13T10:26:00Z</dcterms:created>
  <dcterms:modified xsi:type="dcterms:W3CDTF">2022-05-14T15:50:00Z</dcterms:modified>
</cp:coreProperties>
</file>